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Wielant Belthle</w:t>
      </w:r>
    </w:p>
    <w:p>
      <w:r>
        <w:rPr>
          <w:color w:val="64748B"/>
          <w:sz w:val="20"/>
        </w:rPr>
        <w:t xml:space="preserve">https://vutuv.de/wielant_belthle</w:t>
      </w:r>
    </w:p>
    <w:p>
      <w:r>
        <w:rPr>
          <w:color w:val="64748B"/>
          <w:sz w:val="20"/>
        </w:rPr>
        <w:t xml:space="preserve">Aachen, Germany</w:t>
      </w:r>
    </w:p>
    <w:p>
      <w:pPr>
        <w:pStyle w:val="Heading1"/>
      </w:pPr>
      <w:r>
        <w:t xml:space="preserve">Tags</w:t>
      </w:r>
    </w:p>
    <w:p>
      <w:r>
        <w:t xml:space="preserve">linux administration | networking | routing | switching | tcp-ip | telecomunication | virtualization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